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9B" w:rsidRPr="009E2317" w:rsidRDefault="00047E9B" w:rsidP="00047E9B">
      <w:pPr>
        <w:jc w:val="center"/>
        <w:rPr>
          <w:rFonts w:ascii="Britannic Bold" w:hAnsi="Britannic Bold"/>
          <w:sz w:val="24"/>
          <w:szCs w:val="24"/>
          <w:u w:val="single"/>
        </w:rPr>
      </w:pPr>
      <w:bookmarkStart w:id="0" w:name="_GoBack"/>
      <w:bookmarkEnd w:id="0"/>
      <w:r w:rsidRPr="009E2317">
        <w:rPr>
          <w:rFonts w:ascii="Britannic Bold" w:hAnsi="Britannic Bold"/>
          <w:sz w:val="24"/>
          <w:szCs w:val="24"/>
          <w:u w:val="single"/>
        </w:rPr>
        <w:t>GAUTENG HIGH COURT, PRETORIA</w:t>
      </w:r>
    </w:p>
    <w:p w:rsidR="00047E9B" w:rsidRPr="009E2317" w:rsidRDefault="00047E9B" w:rsidP="00047E9B">
      <w:pPr>
        <w:jc w:val="center"/>
        <w:rPr>
          <w:rFonts w:ascii="Britannic Bold" w:hAnsi="Britannic Bold"/>
          <w:sz w:val="24"/>
          <w:szCs w:val="24"/>
          <w:u w:val="single"/>
        </w:rPr>
      </w:pPr>
      <w:r w:rsidRPr="009E2317">
        <w:rPr>
          <w:rFonts w:ascii="Britannic Bold" w:hAnsi="Britannic Bold"/>
          <w:sz w:val="24"/>
          <w:szCs w:val="24"/>
          <w:u w:val="single"/>
        </w:rPr>
        <w:t xml:space="preserve">URGENT APPLICATIONS - NEUKIRCHER J </w:t>
      </w:r>
    </w:p>
    <w:p w:rsidR="00047E9B" w:rsidRDefault="00CF4BBB" w:rsidP="00047E9B">
      <w:pPr>
        <w:jc w:val="center"/>
        <w:rPr>
          <w:rFonts w:ascii="Britannic Bold" w:hAnsi="Britannic Bold"/>
          <w:sz w:val="24"/>
          <w:szCs w:val="24"/>
          <w:u w:val="single"/>
        </w:rPr>
      </w:pPr>
      <w:r>
        <w:rPr>
          <w:rFonts w:ascii="Britannic Bold" w:hAnsi="Britannic Bold"/>
          <w:sz w:val="24"/>
          <w:szCs w:val="24"/>
          <w:u w:val="single"/>
        </w:rPr>
        <w:t>WEEK OF 28</w:t>
      </w:r>
      <w:r w:rsidR="00115075">
        <w:rPr>
          <w:rFonts w:ascii="Britannic Bold" w:hAnsi="Britannic Bold"/>
          <w:sz w:val="24"/>
          <w:szCs w:val="24"/>
          <w:u w:val="single"/>
        </w:rPr>
        <w:t xml:space="preserve"> – 31</w:t>
      </w:r>
      <w:r w:rsidR="009E2317" w:rsidRPr="009E2317">
        <w:rPr>
          <w:rFonts w:ascii="Britannic Bold" w:hAnsi="Britannic Bold"/>
          <w:sz w:val="24"/>
          <w:szCs w:val="24"/>
          <w:u w:val="single"/>
        </w:rPr>
        <w:t xml:space="preserve"> JULY 2020</w:t>
      </w:r>
    </w:p>
    <w:p w:rsidR="00163A57" w:rsidRPr="000743A9" w:rsidRDefault="00163A57" w:rsidP="007F4671">
      <w:pPr>
        <w:spacing w:after="0" w:line="360" w:lineRule="auto"/>
        <w:jc w:val="both"/>
        <w:rPr>
          <w:rFonts w:ascii="Britannic Bold" w:hAnsi="Britannic Bold"/>
          <w:sz w:val="20"/>
          <w:szCs w:val="20"/>
        </w:rPr>
      </w:pPr>
    </w:p>
    <w:p w:rsidR="000743A9" w:rsidRDefault="00731BAC" w:rsidP="007F4671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Britannic Bold" w:hAnsi="Britannic Bold" w:cs="Arial"/>
          <w:color w:val="000000"/>
          <w:sz w:val="20"/>
          <w:szCs w:val="20"/>
        </w:rPr>
      </w:pPr>
      <w:r w:rsidRPr="000743A9">
        <w:rPr>
          <w:rFonts w:ascii="Britannic Bold" w:hAnsi="Britannic Bold"/>
          <w:sz w:val="20"/>
          <w:szCs w:val="20"/>
        </w:rPr>
        <w:t>1]</w:t>
      </w:r>
      <w:r w:rsidRPr="000743A9">
        <w:rPr>
          <w:rFonts w:ascii="Britannic Bold" w:hAnsi="Britannic Bold"/>
          <w:sz w:val="20"/>
          <w:szCs w:val="20"/>
        </w:rPr>
        <w:tab/>
      </w:r>
      <w:r w:rsidR="000743A9">
        <w:rPr>
          <w:rFonts w:ascii="Britannic Bold" w:hAnsi="Britannic Bold" w:cs="Arial"/>
          <w:color w:val="000000"/>
          <w:sz w:val="20"/>
          <w:szCs w:val="20"/>
        </w:rPr>
        <w:t>If cases were</w:t>
      </w:r>
      <w:r w:rsidR="000743A9" w:rsidRPr="000743A9">
        <w:rPr>
          <w:rFonts w:ascii="Britannic Bold" w:hAnsi="Britannic Bold" w:cs="Arial"/>
          <w:color w:val="000000"/>
          <w:sz w:val="20"/>
          <w:szCs w:val="20"/>
        </w:rPr>
        <w:t xml:space="preserve"> not ready at time of filing at 12:00 on Thursday 23 July 2020</w:t>
      </w:r>
      <w:r w:rsidR="000743A9">
        <w:rPr>
          <w:rFonts w:ascii="Britannic Bold" w:hAnsi="Britannic Bold" w:cs="Arial"/>
          <w:color w:val="000000"/>
          <w:sz w:val="20"/>
          <w:szCs w:val="20"/>
        </w:rPr>
        <w:t xml:space="preserve"> (i.e all relevant affidavits filed and the case indexed and paginated)</w:t>
      </w:r>
      <w:r w:rsidR="000743A9" w:rsidRPr="000743A9">
        <w:rPr>
          <w:rFonts w:ascii="Britannic Bold" w:hAnsi="Britannic Bold" w:cs="Arial"/>
          <w:color w:val="000000"/>
          <w:sz w:val="20"/>
          <w:szCs w:val="20"/>
        </w:rPr>
        <w:t>, they will not be heard, unless there is good cause or exceptional circumstances.</w:t>
      </w:r>
    </w:p>
    <w:p w:rsidR="00EB5DDD" w:rsidRPr="000743A9" w:rsidRDefault="000743A9" w:rsidP="007F4671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 w:cs="Arial"/>
          <w:color w:val="000000"/>
          <w:sz w:val="20"/>
          <w:szCs w:val="20"/>
        </w:rPr>
        <w:t>2]</w:t>
      </w:r>
      <w:r>
        <w:rPr>
          <w:rFonts w:ascii="Britannic Bold" w:hAnsi="Britannic Bold" w:cs="Arial"/>
          <w:color w:val="000000"/>
          <w:sz w:val="20"/>
          <w:szCs w:val="20"/>
        </w:rPr>
        <w:tab/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All cases </w:t>
      </w:r>
      <w:r w:rsidR="00D3134F">
        <w:rPr>
          <w:rFonts w:ascii="Britannic Bold" w:hAnsi="Britannic Bold" w:cs="Arial"/>
          <w:color w:val="000000"/>
          <w:sz w:val="20"/>
          <w:szCs w:val="20"/>
        </w:rPr>
        <w:t xml:space="preserve">MUST </w:t>
      </w:r>
      <w:r w:rsidRPr="000743A9">
        <w:rPr>
          <w:rFonts w:ascii="Britannic Bold" w:hAnsi="Britannic Bold" w:cs="Arial"/>
          <w:color w:val="000000"/>
          <w:sz w:val="20"/>
          <w:szCs w:val="20"/>
        </w:rPr>
        <w:t>be uploaded on CaseLines. If any probl</w:t>
      </w:r>
      <w:r w:rsidR="00D3134F">
        <w:rPr>
          <w:rFonts w:ascii="Britannic Bold" w:hAnsi="Britannic Bold" w:cs="Arial"/>
          <w:color w:val="000000"/>
          <w:sz w:val="20"/>
          <w:szCs w:val="20"/>
        </w:rPr>
        <w:t xml:space="preserve">ems are experienced the </w:t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judge’s registrar may be contacted </w:t>
      </w:r>
      <w:r w:rsidR="00D3134F">
        <w:rPr>
          <w:rFonts w:ascii="Britannic Bold" w:hAnsi="Britannic Bold" w:cs="Arial"/>
          <w:color w:val="000000"/>
          <w:sz w:val="20"/>
          <w:szCs w:val="20"/>
        </w:rPr>
        <w:t>TIMEOUSLY</w:t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. </w:t>
      </w:r>
      <w:r>
        <w:rPr>
          <w:rFonts w:ascii="Britannic Bold" w:hAnsi="Britannic Bold"/>
          <w:sz w:val="20"/>
          <w:szCs w:val="20"/>
        </w:rPr>
        <w:t>In the absence thereof, w</w:t>
      </w:r>
      <w:r w:rsidR="00EB5DDD" w:rsidRPr="000743A9">
        <w:rPr>
          <w:rFonts w:ascii="Britannic Bold" w:hAnsi="Britannic Bold"/>
          <w:sz w:val="20"/>
          <w:szCs w:val="20"/>
        </w:rPr>
        <w:t>here links have not been populated timeously</w:t>
      </w:r>
      <w:r w:rsidR="00044335">
        <w:rPr>
          <w:rFonts w:ascii="Britannic Bold" w:hAnsi="Britannic Bold"/>
          <w:sz w:val="20"/>
          <w:szCs w:val="20"/>
        </w:rPr>
        <w:t xml:space="preserve"> (see par 1 supra)</w:t>
      </w:r>
      <w:r w:rsidR="00EB5DDD" w:rsidRPr="000743A9">
        <w:rPr>
          <w:rFonts w:ascii="Britannic Bold" w:hAnsi="Britannic Bold"/>
          <w:sz w:val="20"/>
          <w:szCs w:val="20"/>
        </w:rPr>
        <w:t xml:space="preserve"> or no link has been received</w:t>
      </w:r>
      <w:r>
        <w:rPr>
          <w:rFonts w:ascii="Britannic Bold" w:hAnsi="Britannic Bold"/>
          <w:sz w:val="20"/>
          <w:szCs w:val="20"/>
        </w:rPr>
        <w:t>, the matter will be struck from the roll.</w:t>
      </w:r>
    </w:p>
    <w:p w:rsidR="00731BAC" w:rsidRPr="000743A9" w:rsidRDefault="000743A9" w:rsidP="007F4671">
      <w:pPr>
        <w:spacing w:after="0" w:line="360" w:lineRule="auto"/>
        <w:ind w:left="720" w:hanging="720"/>
        <w:jc w:val="both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3</w:t>
      </w:r>
      <w:r w:rsidR="00731BAC" w:rsidRPr="000743A9">
        <w:rPr>
          <w:rFonts w:ascii="Britannic Bold" w:hAnsi="Britannic Bold"/>
          <w:sz w:val="20"/>
          <w:szCs w:val="20"/>
        </w:rPr>
        <w:t>]</w:t>
      </w:r>
      <w:r w:rsidR="00731BAC" w:rsidRPr="000743A9">
        <w:rPr>
          <w:rFonts w:ascii="Britannic Bold" w:hAnsi="Britannic Bold"/>
          <w:sz w:val="20"/>
          <w:szCs w:val="20"/>
        </w:rPr>
        <w:tab/>
        <w:t>Where no certificat</w:t>
      </w:r>
      <w:r w:rsidR="00115075" w:rsidRPr="000743A9">
        <w:rPr>
          <w:rFonts w:ascii="Britannic Bold" w:hAnsi="Britannic Bold"/>
          <w:sz w:val="20"/>
          <w:szCs w:val="20"/>
        </w:rPr>
        <w:t xml:space="preserve">e of urgency has been filed and/or </w:t>
      </w:r>
      <w:r w:rsidR="00731BAC" w:rsidRPr="000743A9">
        <w:rPr>
          <w:rFonts w:ascii="Britannic Bold" w:hAnsi="Britannic Bold"/>
          <w:sz w:val="20"/>
          <w:szCs w:val="20"/>
        </w:rPr>
        <w:t>no practice note has been filed the matter will be struck from the roll failing good cause shown for non-compliance per the issued directive.</w:t>
      </w:r>
    </w:p>
    <w:p w:rsidR="00115075" w:rsidRPr="000743A9" w:rsidRDefault="000743A9" w:rsidP="007F4671">
      <w:pPr>
        <w:spacing w:after="0" w:line="360" w:lineRule="auto"/>
        <w:ind w:left="720" w:hanging="720"/>
        <w:jc w:val="both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4</w:t>
      </w:r>
      <w:r w:rsidR="00115075" w:rsidRPr="000743A9">
        <w:rPr>
          <w:rFonts w:ascii="Britannic Bold" w:hAnsi="Britannic Bold"/>
          <w:sz w:val="20"/>
          <w:szCs w:val="20"/>
        </w:rPr>
        <w:t>]</w:t>
      </w:r>
      <w:r w:rsidR="00115075" w:rsidRPr="000743A9">
        <w:rPr>
          <w:rFonts w:ascii="Britannic Bold" w:hAnsi="Britannic Bold"/>
          <w:sz w:val="20"/>
          <w:szCs w:val="20"/>
        </w:rPr>
        <w:tab/>
        <w:t xml:space="preserve">In matters that are unopposed or settled – draft orders in word format are to be email to </w:t>
      </w:r>
      <w:hyperlink r:id="rId7" w:history="1">
        <w:r w:rsidR="00115075" w:rsidRPr="000743A9">
          <w:rPr>
            <w:rStyle w:val="Hyperlink"/>
            <w:rFonts w:ascii="Britannic Bold" w:hAnsi="Britannic Bold"/>
            <w:sz w:val="20"/>
            <w:szCs w:val="20"/>
          </w:rPr>
          <w:t>BDube@judiciary.org.za</w:t>
        </w:r>
      </w:hyperlink>
      <w:r w:rsidR="00115075" w:rsidRPr="000743A9">
        <w:rPr>
          <w:rFonts w:ascii="Britannic Bold" w:hAnsi="Britannic Bold"/>
          <w:sz w:val="20"/>
          <w:szCs w:val="20"/>
        </w:rPr>
        <w:t xml:space="preserve"> by no later than 16h00 on Monday 27 July 2020. No hearing is required for these matters unless parties notify the judge’s registrar otherwise.</w:t>
      </w:r>
    </w:p>
    <w:p w:rsidR="000743A9" w:rsidRPr="000743A9" w:rsidRDefault="000743A9" w:rsidP="007F4671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Britannic Bold" w:hAnsi="Britannic Bold" w:cs="Arial"/>
          <w:color w:val="000000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5</w:t>
      </w:r>
      <w:r w:rsidR="00731BAC" w:rsidRPr="000743A9">
        <w:rPr>
          <w:rFonts w:ascii="Britannic Bold" w:hAnsi="Britannic Bold"/>
          <w:sz w:val="20"/>
          <w:szCs w:val="20"/>
        </w:rPr>
        <w:t>]</w:t>
      </w:r>
      <w:r w:rsidR="00731BAC" w:rsidRPr="000743A9">
        <w:rPr>
          <w:rFonts w:ascii="Britannic Bold" w:hAnsi="Britannic Bold"/>
          <w:sz w:val="20"/>
          <w:szCs w:val="20"/>
        </w:rPr>
        <w:tab/>
        <w:t xml:space="preserve">In all opposed matters, heads of argument are to be filed by both </w:t>
      </w:r>
      <w:r w:rsidR="00787E8E">
        <w:rPr>
          <w:rFonts w:ascii="Britannic Bold" w:hAnsi="Britannic Bold"/>
          <w:sz w:val="20"/>
          <w:szCs w:val="20"/>
        </w:rPr>
        <w:t>parties before 12h00 on Monday 27</w:t>
      </w:r>
      <w:r w:rsidR="00731BAC" w:rsidRPr="000743A9">
        <w:rPr>
          <w:rFonts w:ascii="Britannic Bold" w:hAnsi="Britannic Bold"/>
          <w:sz w:val="20"/>
          <w:szCs w:val="20"/>
        </w:rPr>
        <w:t xml:space="preserve"> July 2020.</w:t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 Strict regard will be had to the rules of urgency.</w:t>
      </w:r>
    </w:p>
    <w:p w:rsidR="000743A9" w:rsidRPr="000743A9" w:rsidRDefault="000743A9" w:rsidP="007F46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ritannic Bold" w:hAnsi="Britannic Bold" w:cs="Arial"/>
          <w:color w:val="000000"/>
          <w:sz w:val="20"/>
          <w:szCs w:val="20"/>
        </w:rPr>
      </w:pPr>
      <w:r>
        <w:rPr>
          <w:rFonts w:ascii="Britannic Bold" w:hAnsi="Britannic Bold" w:cs="Arial"/>
          <w:color w:val="000000"/>
          <w:sz w:val="20"/>
          <w:szCs w:val="20"/>
        </w:rPr>
        <w:t>6]</w:t>
      </w:r>
      <w:r>
        <w:rPr>
          <w:rFonts w:ascii="Britannic Bold" w:hAnsi="Britannic Bold" w:cs="Arial"/>
          <w:color w:val="000000"/>
          <w:sz w:val="20"/>
          <w:szCs w:val="20"/>
        </w:rPr>
        <w:tab/>
      </w:r>
      <w:r w:rsidRPr="000743A9">
        <w:rPr>
          <w:rFonts w:ascii="Britannic Bold" w:hAnsi="Britannic Bold" w:cs="Arial"/>
          <w:color w:val="000000"/>
          <w:sz w:val="20"/>
          <w:szCs w:val="20"/>
        </w:rPr>
        <w:t>No piece-meal filing of affidavits will be allowed.</w:t>
      </w:r>
    </w:p>
    <w:p w:rsidR="000743A9" w:rsidRDefault="000743A9" w:rsidP="007F4671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Britannic Bold" w:hAnsi="Britannic Bold" w:cs="Arial"/>
          <w:color w:val="000000"/>
          <w:sz w:val="20"/>
          <w:szCs w:val="20"/>
        </w:rPr>
      </w:pPr>
      <w:r>
        <w:rPr>
          <w:rFonts w:ascii="Britannic Bold" w:hAnsi="Britannic Bold" w:cs="Arial"/>
          <w:color w:val="000000"/>
          <w:sz w:val="20"/>
          <w:szCs w:val="20"/>
        </w:rPr>
        <w:t>7]</w:t>
      </w:r>
      <w:r>
        <w:rPr>
          <w:rFonts w:ascii="Britannic Bold" w:hAnsi="Britannic Bold" w:cs="Arial"/>
          <w:color w:val="000000"/>
          <w:sz w:val="20"/>
          <w:szCs w:val="20"/>
        </w:rPr>
        <w:tab/>
      </w:r>
      <w:r w:rsidRPr="000743A9">
        <w:rPr>
          <w:rFonts w:ascii="Britannic Bold" w:hAnsi="Britannic Bold" w:cs="Arial"/>
          <w:color w:val="000000"/>
          <w:sz w:val="20"/>
          <w:szCs w:val="20"/>
        </w:rPr>
        <w:t>If t</w:t>
      </w:r>
      <w:r>
        <w:rPr>
          <w:rFonts w:ascii="Britannic Bold" w:hAnsi="Britannic Bold" w:cs="Arial"/>
          <w:color w:val="000000"/>
          <w:sz w:val="20"/>
          <w:szCs w:val="20"/>
        </w:rPr>
        <w:t>here is non-compliance with the</w:t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 practice directive</w:t>
      </w:r>
      <w:r>
        <w:rPr>
          <w:rFonts w:ascii="Britannic Bold" w:hAnsi="Britannic Bold" w:cs="Arial"/>
          <w:color w:val="000000"/>
          <w:sz w:val="20"/>
          <w:szCs w:val="20"/>
        </w:rPr>
        <w:t xml:space="preserve"> issued by Molopa-Sethose J,</w:t>
      </w:r>
      <w:r w:rsidRPr="000743A9">
        <w:rPr>
          <w:rFonts w:ascii="Britannic Bold" w:hAnsi="Britannic Bold" w:cs="Arial"/>
          <w:color w:val="000000"/>
          <w:sz w:val="20"/>
          <w:szCs w:val="20"/>
        </w:rPr>
        <w:t xml:space="preserve"> the mat</w:t>
      </w:r>
      <w:r w:rsidR="00FC64A2">
        <w:rPr>
          <w:rFonts w:ascii="Britannic Bold" w:hAnsi="Britannic Bold" w:cs="Arial"/>
          <w:color w:val="000000"/>
          <w:sz w:val="20"/>
          <w:szCs w:val="20"/>
        </w:rPr>
        <w:t>ter will be struck from the roll</w:t>
      </w:r>
      <w:r w:rsidRPr="000743A9">
        <w:rPr>
          <w:rFonts w:ascii="Britannic Bold" w:hAnsi="Britannic Bold" w:cs="Arial"/>
          <w:color w:val="000000"/>
          <w:sz w:val="20"/>
          <w:szCs w:val="20"/>
        </w:rPr>
        <w:t>, unless good cause is shown for non-compliance.</w:t>
      </w:r>
    </w:p>
    <w:p w:rsid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ritannic Bold" w:hAnsi="Britannic Bold" w:cs="Arial"/>
          <w:color w:val="000000"/>
          <w:sz w:val="20"/>
          <w:szCs w:val="20"/>
        </w:rPr>
      </w:pPr>
    </w:p>
    <w:p w:rsid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In all matters where a date and time has been allocated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1]</w:t>
      </w:r>
      <w:r>
        <w:rPr>
          <w:rFonts w:ascii="Arial" w:hAnsi="Arial" w:cs="Arial"/>
          <w:color w:val="000000"/>
          <w:sz w:val="24"/>
          <w:szCs w:val="24"/>
        </w:rPr>
        <w:tab/>
        <w:t>An allocation does NOT mean that the matter is considered sufficiently urgent to hear on the merits. Submissions will need to be made regarding the grounds of urgency.</w:t>
      </w:r>
    </w:p>
    <w:p w:rsid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2]</w:t>
      </w:r>
      <w:r>
        <w:rPr>
          <w:rFonts w:ascii="Arial" w:hAnsi="Arial" w:cs="Arial"/>
          <w:color w:val="000000"/>
          <w:sz w:val="24"/>
          <w:szCs w:val="24"/>
        </w:rPr>
        <w:tab/>
        <w:t>The applicants are tasked with providing the judge with the meeting id and password for a Microsoft Teams or Zoom hearing and are to record the proceedings and provide the judge’</w:t>
      </w:r>
      <w:r w:rsidR="00D3134F">
        <w:rPr>
          <w:rFonts w:ascii="Arial" w:hAnsi="Arial" w:cs="Arial"/>
          <w:color w:val="000000"/>
          <w:sz w:val="24"/>
          <w:szCs w:val="24"/>
        </w:rPr>
        <w:t xml:space="preserve">s registrar with the </w:t>
      </w:r>
      <w:r>
        <w:rPr>
          <w:rFonts w:ascii="Arial" w:hAnsi="Arial" w:cs="Arial"/>
          <w:color w:val="000000"/>
          <w:sz w:val="24"/>
          <w:szCs w:val="24"/>
        </w:rPr>
        <w:t>sound byte afterwards.</w:t>
      </w:r>
    </w:p>
    <w:p w:rsidR="00D56FAC" w:rsidRDefault="00D3134F" w:rsidP="00D56FAC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3]</w:t>
      </w:r>
      <w:r>
        <w:rPr>
          <w:rFonts w:ascii="Arial" w:hAnsi="Arial" w:cs="Arial"/>
          <w:color w:val="000000"/>
          <w:sz w:val="24"/>
          <w:szCs w:val="24"/>
        </w:rPr>
        <w:tab/>
        <w:t>If parties are of the view that a matter may be heard on the papers and without a hearing (save those set out in PART C) they are to indicate this to the judge’s registrar by no later than 13h00 on Monday 27 July 2020.</w:t>
      </w:r>
    </w:p>
    <w:p w:rsidR="005025AF" w:rsidRDefault="005025AF" w:rsidP="00D56FAC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4]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2574E">
        <w:rPr>
          <w:rFonts w:ascii="Arial" w:hAnsi="Arial" w:cs="Arial"/>
          <w:b/>
          <w:color w:val="000000"/>
          <w:sz w:val="24"/>
          <w:szCs w:val="24"/>
          <w:u w:val="single"/>
        </w:rPr>
        <w:t>Matter 21</w:t>
      </w:r>
      <w:r>
        <w:rPr>
          <w:rFonts w:ascii="Arial" w:hAnsi="Arial" w:cs="Arial"/>
          <w:color w:val="000000"/>
          <w:sz w:val="24"/>
          <w:szCs w:val="24"/>
        </w:rPr>
        <w:t>: the parties will be provided with a Zoom meeting id for purposes of the hearing.</w:t>
      </w:r>
    </w:p>
    <w:p w:rsidR="00D56FAC" w:rsidRP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56FAC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ritannic Bold" w:hAnsi="Britannic Bold" w:cs="Arial"/>
          <w:color w:val="000000"/>
          <w:sz w:val="20"/>
          <w:szCs w:val="20"/>
        </w:rPr>
      </w:pPr>
    </w:p>
    <w:p w:rsidR="00D56FAC" w:rsidRPr="000743A9" w:rsidRDefault="00D56FAC" w:rsidP="00D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ritannic Bold" w:hAnsi="Britannic Bold" w:cs="Arial"/>
          <w:color w:val="000000"/>
          <w:sz w:val="20"/>
          <w:szCs w:val="20"/>
        </w:rPr>
      </w:pPr>
    </w:p>
    <w:p w:rsidR="00D56FAC" w:rsidRPr="00D3134F" w:rsidRDefault="00D3134F" w:rsidP="006E6507">
      <w:pPr>
        <w:rPr>
          <w:rFonts w:ascii="Britannic Bold" w:hAnsi="Britannic Bold"/>
          <w:b/>
          <w:sz w:val="32"/>
          <w:szCs w:val="32"/>
          <w:u w:val="single"/>
        </w:rPr>
      </w:pPr>
      <w:r>
        <w:rPr>
          <w:rFonts w:ascii="Britannic Bold" w:hAnsi="Britannic Bold"/>
          <w:b/>
          <w:sz w:val="32"/>
          <w:szCs w:val="32"/>
          <w:u w:val="single"/>
        </w:rPr>
        <w:lastRenderedPageBreak/>
        <w:t>PART A</w:t>
      </w:r>
    </w:p>
    <w:p w:rsidR="00D56FAC" w:rsidRPr="00D56FAC" w:rsidRDefault="00D56FAC" w:rsidP="006E6507">
      <w:pPr>
        <w:rPr>
          <w:rFonts w:ascii="Britannic Bold" w:hAnsi="Britannic Bold"/>
          <w:b/>
          <w:sz w:val="32"/>
          <w:szCs w:val="32"/>
          <w:u w:val="single"/>
        </w:rPr>
      </w:pPr>
      <w:r w:rsidRPr="00D56FAC">
        <w:rPr>
          <w:rFonts w:ascii="Britannic Bold" w:hAnsi="Britannic Bold"/>
          <w:b/>
          <w:sz w:val="32"/>
          <w:szCs w:val="32"/>
          <w:u w:val="single"/>
        </w:rPr>
        <w:t>TUESDAY 28 JULY 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3118"/>
      </w:tblGrid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parte Basson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29150/20</w:t>
            </w:r>
          </w:p>
        </w:tc>
        <w:tc>
          <w:tcPr>
            <w:tcW w:w="3118" w:type="dxa"/>
          </w:tcPr>
          <w:p w:rsidR="00D56FAC" w:rsidRPr="00D56FAC" w:rsidRDefault="00D56FAC" w:rsidP="00D56F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 Gradwell v O Fouche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30514/20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Tuesday 28/7/2020 at 10h30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replying affidavit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Papers not in order</w:t>
            </w:r>
          </w:p>
        </w:tc>
      </w:tr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WPD Fleetmas CC v Commissioner SARS + 1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31339/20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Tuesday 28/7/2020 at 11h00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Replying affidavit not filed timeously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Non-compliance with Practice Manual and Practice Directives</w:t>
            </w:r>
          </w:p>
        </w:tc>
      </w:tr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Bruce v Builders Warehouse +1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31233/20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Tuesday 28/7/2020 at 12h00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Notice of Motion or Founding Affidavit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Papers not in order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Tr="00D56FAC">
        <w:tc>
          <w:tcPr>
            <w:tcW w:w="846" w:type="dxa"/>
          </w:tcPr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DT Janse van Rensburg v M Nassif 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31343/20</w:t>
            </w:r>
          </w:p>
        </w:tc>
        <w:tc>
          <w:tcPr>
            <w:tcW w:w="3118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Ismail v AM Raeesa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31604/20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Tuesday 28/7/2020 at 14h00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practice note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Opposed but no answering affidavit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Papers not in order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Non-compliance with Practice Manual &amp; practice directive 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Tr="00D56FAC">
        <w:tc>
          <w:tcPr>
            <w:tcW w:w="846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Roadlab Laboratories Pty Ltd v EFF +1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31810/20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Tuesday 28/7/2020 at 15</w:t>
            </w:r>
            <w:r>
              <w:rPr>
                <w:rFonts w:ascii="Arial" w:hAnsi="Arial" w:cs="Arial"/>
                <w:b/>
                <w:color w:val="1F3864" w:themeColor="accent5" w:themeShade="80"/>
              </w:rPr>
              <w:t>h3</w:t>
            </w: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proof of service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practice note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D56FAC" w:rsidRDefault="00D56FAC" w:rsidP="006E6507">
      <w:pPr>
        <w:rPr>
          <w:rFonts w:ascii="Britannic Bold" w:hAnsi="Britannic Bold"/>
          <w:b/>
          <w:sz w:val="24"/>
          <w:szCs w:val="24"/>
          <w:u w:val="single"/>
        </w:rPr>
      </w:pPr>
    </w:p>
    <w:p w:rsidR="00A23429" w:rsidRDefault="00A23429" w:rsidP="006E6507">
      <w:pPr>
        <w:rPr>
          <w:rFonts w:ascii="Britannic Bold" w:hAnsi="Britannic Bold"/>
          <w:b/>
          <w:sz w:val="24"/>
          <w:szCs w:val="24"/>
          <w:u w:val="single"/>
        </w:rPr>
      </w:pPr>
    </w:p>
    <w:p w:rsidR="00D56FAC" w:rsidRPr="00D56FAC" w:rsidRDefault="00D56FAC" w:rsidP="006E6507">
      <w:pPr>
        <w:rPr>
          <w:rFonts w:ascii="Britannic Bold" w:hAnsi="Britannic Bold"/>
          <w:sz w:val="32"/>
          <w:szCs w:val="32"/>
          <w:u w:val="single"/>
        </w:rPr>
      </w:pPr>
      <w:r w:rsidRPr="00D56FAC">
        <w:rPr>
          <w:rFonts w:ascii="Britannic Bold" w:hAnsi="Britannic Bold"/>
          <w:sz w:val="32"/>
          <w:szCs w:val="32"/>
          <w:u w:val="single"/>
        </w:rPr>
        <w:t>WEDNESDAY 29 JULY 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40"/>
        <w:gridCol w:w="4317"/>
        <w:gridCol w:w="1559"/>
        <w:gridCol w:w="3118"/>
      </w:tblGrid>
      <w:tr w:rsidR="00D56FAC" w:rsidRPr="0000187C" w:rsidTr="00787E8E">
        <w:trPr>
          <w:trHeight w:val="818"/>
        </w:trPr>
        <w:tc>
          <w:tcPr>
            <w:tcW w:w="640" w:type="dxa"/>
          </w:tcPr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317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HD de Vries v A de Vries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31206/20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Tuesday 28/7/2020 at 14h45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certificate of urgency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practice note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proof of service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Papers  not in order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RPr="0000187C" w:rsidTr="00787E8E">
        <w:trPr>
          <w:trHeight w:val="1086"/>
        </w:trPr>
        <w:tc>
          <w:tcPr>
            <w:tcW w:w="640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17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 Pieterse + 1 v Achieversklub Pty Ltd + 1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32206/20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We</w:t>
            </w:r>
            <w:r>
              <w:rPr>
                <w:rFonts w:ascii="Arial" w:hAnsi="Arial" w:cs="Arial"/>
                <w:b/>
                <w:color w:val="1F3864" w:themeColor="accent5" w:themeShade="80"/>
              </w:rPr>
              <w:t>dnesday 29/7/2020 at 10</w:t>
            </w: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h00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proof of service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practice note</w:t>
            </w: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RPr="0000187C" w:rsidTr="00787E8E">
        <w:trPr>
          <w:trHeight w:val="1086"/>
        </w:trPr>
        <w:tc>
          <w:tcPr>
            <w:tcW w:w="640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7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P Motaung v BE Manoka</w:t>
            </w:r>
          </w:p>
        </w:tc>
        <w:tc>
          <w:tcPr>
            <w:tcW w:w="1559" w:type="dxa"/>
          </w:tcPr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30526/20</w:t>
            </w:r>
          </w:p>
        </w:tc>
        <w:tc>
          <w:tcPr>
            <w:tcW w:w="3118" w:type="dxa"/>
          </w:tcPr>
          <w:p w:rsidR="00D56FAC" w:rsidRPr="00CB0646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We</w:t>
            </w:r>
            <w:r>
              <w:rPr>
                <w:rFonts w:ascii="Arial" w:hAnsi="Arial" w:cs="Arial"/>
                <w:b/>
                <w:color w:val="1F3864" w:themeColor="accent5" w:themeShade="80"/>
              </w:rPr>
              <w:t>dnesday 29/7/2020 at 10h30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 certificate of urgency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Matter </w:t>
            </w:r>
            <w:r w:rsidR="005025AF">
              <w:rPr>
                <w:rFonts w:ascii="Arial" w:hAnsi="Arial" w:cs="Arial"/>
                <w:b/>
                <w:color w:val="FF0000"/>
              </w:rPr>
              <w:t xml:space="preserve">was </w:t>
            </w:r>
            <w:r>
              <w:rPr>
                <w:rFonts w:ascii="Arial" w:hAnsi="Arial" w:cs="Arial"/>
                <w:b/>
                <w:color w:val="FF0000"/>
              </w:rPr>
              <w:t>struck off the roll of Louw J on 21/7/2020</w:t>
            </w:r>
            <w:r w:rsidR="005025AF">
              <w:rPr>
                <w:rFonts w:ascii="Arial" w:hAnsi="Arial" w:cs="Arial"/>
                <w:b/>
                <w:color w:val="FF0000"/>
              </w:rPr>
              <w:t xml:space="preserve"> due to lack of urgency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Non-compliance with directive</w:t>
            </w:r>
          </w:p>
          <w:p w:rsidR="00D56FAC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  <w:p w:rsidR="00D56FAC" w:rsidRPr="009B1AC9" w:rsidRDefault="00D56FAC" w:rsidP="00D56FAC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87E8E" w:rsidRDefault="00787E8E" w:rsidP="0000187C">
      <w:pPr>
        <w:tabs>
          <w:tab w:val="left" w:pos="3119"/>
        </w:tabs>
        <w:rPr>
          <w:rFonts w:ascii="Britannic Bold" w:hAnsi="Britannic Bold"/>
          <w:b/>
          <w:sz w:val="24"/>
          <w:szCs w:val="24"/>
        </w:rPr>
      </w:pPr>
    </w:p>
    <w:p w:rsidR="00D56FAC" w:rsidRPr="00D56FAC" w:rsidRDefault="00D56FAC" w:rsidP="0000187C">
      <w:pPr>
        <w:tabs>
          <w:tab w:val="left" w:pos="3119"/>
        </w:tabs>
        <w:rPr>
          <w:rFonts w:ascii="Britannic Bold" w:hAnsi="Britannic Bold"/>
          <w:sz w:val="32"/>
          <w:szCs w:val="32"/>
          <w:u w:val="single"/>
        </w:rPr>
      </w:pPr>
      <w:r w:rsidRPr="00D56FAC">
        <w:rPr>
          <w:rFonts w:ascii="Britannic Bold" w:hAnsi="Britannic Bold"/>
          <w:sz w:val="32"/>
          <w:szCs w:val="32"/>
          <w:u w:val="single"/>
        </w:rPr>
        <w:t>THURSDAY 30 JULY 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40"/>
        <w:gridCol w:w="4317"/>
        <w:gridCol w:w="1559"/>
        <w:gridCol w:w="3118"/>
      </w:tblGrid>
      <w:tr w:rsidR="00D56FAC" w:rsidRPr="009B1AC9" w:rsidTr="007C3508">
        <w:trPr>
          <w:trHeight w:val="1086"/>
        </w:trPr>
        <w:tc>
          <w:tcPr>
            <w:tcW w:w="640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17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Arcelormittal South Africa Ltd  v Vibro Eco Aggregates Pty Ltd</w:t>
            </w:r>
          </w:p>
        </w:tc>
        <w:tc>
          <w:tcPr>
            <w:tcW w:w="1559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29475/20</w:t>
            </w:r>
          </w:p>
        </w:tc>
        <w:tc>
          <w:tcPr>
            <w:tcW w:w="3118" w:type="dxa"/>
          </w:tcPr>
          <w:p w:rsidR="00D56FAC" w:rsidRPr="00CB0646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b/>
                <w:color w:val="1F3864" w:themeColor="accent5" w:themeShade="80"/>
              </w:rPr>
            </w:pPr>
            <w:r w:rsidRPr="00CB0646">
              <w:rPr>
                <w:rFonts w:ascii="Arial" w:hAnsi="Arial" w:cs="Arial"/>
                <w:b/>
                <w:color w:val="1F3864" w:themeColor="accent5" w:themeShade="80"/>
              </w:rPr>
              <w:t>Thursday 30/7/2020 at 10h00</w:t>
            </w:r>
          </w:p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Heads of argument to be filed by 12h00 on Monday 27/7/2020</w:t>
            </w:r>
          </w:p>
          <w:p w:rsidR="00D56FAC" w:rsidRPr="009B1AC9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D56FAC" w:rsidRPr="009B1AC9" w:rsidTr="00D56FAC">
        <w:trPr>
          <w:trHeight w:val="818"/>
        </w:trPr>
        <w:tc>
          <w:tcPr>
            <w:tcW w:w="640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17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JHS Venter v Supersonic Pty Ltd + 3</w:t>
            </w:r>
          </w:p>
        </w:tc>
        <w:tc>
          <w:tcPr>
            <w:tcW w:w="1559" w:type="dxa"/>
          </w:tcPr>
          <w:p w:rsidR="00D56FA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6FAC" w:rsidRPr="0000187C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32164/20</w:t>
            </w:r>
          </w:p>
        </w:tc>
        <w:tc>
          <w:tcPr>
            <w:tcW w:w="3118" w:type="dxa"/>
          </w:tcPr>
          <w:p w:rsidR="00D56FAC" w:rsidRPr="00F2574E" w:rsidRDefault="00F2574E" w:rsidP="007C3508">
            <w:pPr>
              <w:tabs>
                <w:tab w:val="left" w:pos="3119"/>
              </w:tabs>
              <w:rPr>
                <w:rFonts w:ascii="Arial" w:hAnsi="Arial" w:cs="Arial"/>
                <w:b/>
                <w:color w:val="00B050"/>
              </w:rPr>
            </w:pPr>
            <w:r w:rsidRPr="00F2574E">
              <w:rPr>
                <w:rFonts w:ascii="Arial" w:hAnsi="Arial" w:cs="Arial"/>
                <w:b/>
                <w:color w:val="00B050"/>
              </w:rPr>
              <w:t>Application withdrawn per notice filed on 26 July 2020</w:t>
            </w:r>
            <w:r w:rsidR="004D3415">
              <w:rPr>
                <w:rFonts w:ascii="Arial" w:hAnsi="Arial" w:cs="Arial"/>
                <w:b/>
                <w:color w:val="00B050"/>
              </w:rPr>
              <w:t xml:space="preserve"> therefore no hearing to take place</w:t>
            </w:r>
          </w:p>
          <w:p w:rsidR="00D56FAC" w:rsidRPr="009B1AC9" w:rsidRDefault="00D56FAC" w:rsidP="007C3508">
            <w:pPr>
              <w:tabs>
                <w:tab w:val="left" w:pos="3119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5B66A8" w:rsidRDefault="005B66A8" w:rsidP="0000187C">
      <w:pPr>
        <w:tabs>
          <w:tab w:val="left" w:pos="3119"/>
        </w:tabs>
        <w:rPr>
          <w:rFonts w:ascii="Britannic Bold" w:hAnsi="Britannic Bold"/>
          <w:b/>
          <w:sz w:val="24"/>
          <w:szCs w:val="24"/>
        </w:rPr>
      </w:pPr>
    </w:p>
    <w:p w:rsidR="00D3134F" w:rsidRDefault="00D3134F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D3134F" w:rsidRPr="00D3134F" w:rsidRDefault="00D3134F" w:rsidP="0000187C">
      <w:pPr>
        <w:tabs>
          <w:tab w:val="left" w:pos="3119"/>
        </w:tabs>
        <w:rPr>
          <w:rFonts w:ascii="Britannic Bold" w:hAnsi="Britannic Bold"/>
          <w:sz w:val="32"/>
          <w:szCs w:val="32"/>
          <w:u w:val="single"/>
        </w:rPr>
      </w:pPr>
      <w:r>
        <w:rPr>
          <w:rFonts w:ascii="Britannic Bold" w:hAnsi="Britannic Bold"/>
          <w:sz w:val="32"/>
          <w:szCs w:val="32"/>
          <w:u w:val="single"/>
        </w:rPr>
        <w:t>PART B</w:t>
      </w:r>
    </w:p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  <w:r w:rsidRPr="00357531">
        <w:rPr>
          <w:rFonts w:ascii="Britannic Bold" w:hAnsi="Britannic Bold"/>
          <w:sz w:val="24"/>
          <w:szCs w:val="24"/>
        </w:rPr>
        <w:t>In the following matters, the link has not been populated: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642"/>
      </w:tblGrid>
      <w:tr w:rsidR="00357531" w:rsidTr="00357531">
        <w:tc>
          <w:tcPr>
            <w:tcW w:w="704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Urban Icon v SANRAL</w:t>
            </w:r>
          </w:p>
        </w:tc>
        <w:tc>
          <w:tcPr>
            <w:tcW w:w="2642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28814/20</w:t>
            </w:r>
          </w:p>
        </w:tc>
      </w:tr>
      <w:tr w:rsidR="00357531" w:rsidTr="00357531">
        <w:tc>
          <w:tcPr>
            <w:tcW w:w="704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Ntema Investments CC v Sedtrade Pty Ltd + 2</w:t>
            </w: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(Link on CaseLines lists the parties as Sedtrade Pty Ltd v Department of Human Settlement FS Province)</w:t>
            </w:r>
          </w:p>
        </w:tc>
        <w:tc>
          <w:tcPr>
            <w:tcW w:w="2642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26214/20</w:t>
            </w:r>
          </w:p>
        </w:tc>
      </w:tr>
      <w:tr w:rsidR="00357531" w:rsidTr="00357531">
        <w:tc>
          <w:tcPr>
            <w:tcW w:w="704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M Nkhwashu v Impact Metering Services + 2</w:t>
            </w:r>
          </w:p>
        </w:tc>
        <w:tc>
          <w:tcPr>
            <w:tcW w:w="2642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29341/20</w:t>
            </w:r>
          </w:p>
        </w:tc>
      </w:tr>
    </w:tbl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D3134F" w:rsidRDefault="00D3134F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D3134F" w:rsidRPr="00D3134F" w:rsidRDefault="00D3134F" w:rsidP="0000187C">
      <w:pPr>
        <w:tabs>
          <w:tab w:val="left" w:pos="3119"/>
        </w:tabs>
        <w:rPr>
          <w:rFonts w:ascii="Britannic Bold" w:hAnsi="Britannic Bold"/>
          <w:sz w:val="32"/>
          <w:szCs w:val="32"/>
          <w:u w:val="single"/>
        </w:rPr>
      </w:pPr>
      <w:r>
        <w:rPr>
          <w:rFonts w:ascii="Britannic Bold" w:hAnsi="Britannic Bold"/>
          <w:sz w:val="32"/>
          <w:szCs w:val="32"/>
          <w:u w:val="single"/>
        </w:rPr>
        <w:t>PART C</w:t>
      </w:r>
    </w:p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The following matters will be heard on the papers (ie without argument) unless the parties notify the judge’s registrar otherwise by no later than 15h00 on Monday 27 July 2020</w:t>
      </w:r>
      <w:r w:rsidR="00F83CF0">
        <w:rPr>
          <w:rFonts w:ascii="Britannic Bold" w:hAnsi="Britannic Bold"/>
          <w:sz w:val="24"/>
          <w:szCs w:val="24"/>
        </w:rPr>
        <w:t>. Draft orders IN WORD FORMAT are to be emailed to the judge’s registrar by no later than 16h00 on Monday 27 July 2020: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5455"/>
        <w:gridCol w:w="2758"/>
      </w:tblGrid>
      <w:tr w:rsidR="00357531" w:rsidTr="00C63F89">
        <w:tc>
          <w:tcPr>
            <w:tcW w:w="803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55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SALPC v R Roux</w:t>
            </w:r>
          </w:p>
        </w:tc>
        <w:tc>
          <w:tcPr>
            <w:tcW w:w="2758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27011/20</w:t>
            </w:r>
          </w:p>
        </w:tc>
      </w:tr>
      <w:tr w:rsidR="00357531" w:rsidTr="00C63F89">
        <w:tc>
          <w:tcPr>
            <w:tcW w:w="803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55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Espach v AJ Espach</w:t>
            </w:r>
          </w:p>
        </w:tc>
        <w:tc>
          <w:tcPr>
            <w:tcW w:w="2758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30371/20</w:t>
            </w:r>
          </w:p>
        </w:tc>
      </w:tr>
      <w:tr w:rsidR="00357531" w:rsidTr="00C63F89">
        <w:tc>
          <w:tcPr>
            <w:tcW w:w="803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55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P Basson v MEC of Health, Gauteng</w:t>
            </w:r>
          </w:p>
        </w:tc>
        <w:tc>
          <w:tcPr>
            <w:tcW w:w="2758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934714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62418/14</w:t>
            </w:r>
          </w:p>
        </w:tc>
      </w:tr>
      <w:tr w:rsidR="00357531" w:rsidTr="00C63F89">
        <w:tc>
          <w:tcPr>
            <w:tcW w:w="803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(AND 32)</w:t>
            </w:r>
          </w:p>
        </w:tc>
        <w:tc>
          <w:tcPr>
            <w:tcW w:w="5455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P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SALPC v LB Mashaba</w:t>
            </w:r>
          </w:p>
        </w:tc>
        <w:tc>
          <w:tcPr>
            <w:tcW w:w="2758" w:type="dxa"/>
          </w:tcPr>
          <w:p w:rsidR="000E40A5" w:rsidRDefault="000E40A5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31148/20</w:t>
            </w:r>
          </w:p>
          <w:p w:rsidR="00357531" w:rsidRPr="00357531" w:rsidRDefault="0051548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31868/20</w:t>
            </w:r>
          </w:p>
        </w:tc>
      </w:tr>
      <w:tr w:rsidR="00357531" w:rsidTr="00C63F89">
        <w:tc>
          <w:tcPr>
            <w:tcW w:w="803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455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Kock v AG Kock</w:t>
            </w:r>
          </w:p>
        </w:tc>
        <w:tc>
          <w:tcPr>
            <w:tcW w:w="2758" w:type="dxa"/>
          </w:tcPr>
          <w:p w:rsidR="00357531" w:rsidRDefault="00357531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00187C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31636/20</w:t>
            </w:r>
          </w:p>
        </w:tc>
      </w:tr>
      <w:tr w:rsidR="00F83CF0" w:rsidTr="005B66A8">
        <w:tc>
          <w:tcPr>
            <w:tcW w:w="803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455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parte C Bester</w:t>
            </w:r>
          </w:p>
        </w:tc>
        <w:tc>
          <w:tcPr>
            <w:tcW w:w="2758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3CF0" w:rsidRPr="00357531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31635/20</w:t>
            </w:r>
          </w:p>
        </w:tc>
      </w:tr>
      <w:tr w:rsidR="00F83CF0" w:rsidTr="00CB4163">
        <w:tc>
          <w:tcPr>
            <w:tcW w:w="803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Britannic Bold" w:hAnsi="Britannic Bold"/>
                <w:sz w:val="24"/>
                <w:szCs w:val="24"/>
              </w:rPr>
            </w:pPr>
          </w:p>
          <w:p w:rsidR="00F83CF0" w:rsidRPr="005B66A8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455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Britannic Bold" w:hAnsi="Britannic Bold"/>
                <w:sz w:val="24"/>
                <w:szCs w:val="24"/>
              </w:rPr>
            </w:pPr>
          </w:p>
          <w:p w:rsidR="00F83CF0" w:rsidRPr="005B66A8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Agricultural Research Council v P T Sedile + 2</w:t>
            </w:r>
          </w:p>
        </w:tc>
        <w:tc>
          <w:tcPr>
            <w:tcW w:w="2758" w:type="dxa"/>
          </w:tcPr>
          <w:p w:rsidR="00F83CF0" w:rsidRDefault="00F83CF0" w:rsidP="00F83CF0">
            <w:pPr>
              <w:tabs>
                <w:tab w:val="left" w:pos="3119"/>
              </w:tabs>
              <w:rPr>
                <w:rFonts w:ascii="Britannic Bold" w:hAnsi="Britannic Bold"/>
                <w:sz w:val="24"/>
                <w:szCs w:val="24"/>
              </w:rPr>
            </w:pPr>
          </w:p>
          <w:p w:rsidR="00F83CF0" w:rsidRPr="005B66A8" w:rsidRDefault="00F83CF0" w:rsidP="00F83CF0">
            <w:pPr>
              <w:tabs>
                <w:tab w:val="left" w:pos="311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27095</w:t>
            </w:r>
            <w:r w:rsidR="00FB2ADE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</w:tbl>
    <w:p w:rsidR="00CB4163" w:rsidRDefault="00CB4163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p w:rsidR="00357531" w:rsidRPr="00357531" w:rsidRDefault="00357531" w:rsidP="0000187C">
      <w:pPr>
        <w:tabs>
          <w:tab w:val="left" w:pos="3119"/>
        </w:tabs>
        <w:rPr>
          <w:rFonts w:ascii="Britannic Bold" w:hAnsi="Britannic Bold"/>
          <w:sz w:val="24"/>
          <w:szCs w:val="24"/>
        </w:rPr>
      </w:pPr>
    </w:p>
    <w:sectPr w:rsidR="00357531" w:rsidRPr="00357531" w:rsidSect="007852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77" w:rsidRDefault="00043877" w:rsidP="00AF3B22">
      <w:pPr>
        <w:spacing w:after="0" w:line="240" w:lineRule="auto"/>
      </w:pPr>
      <w:r>
        <w:separator/>
      </w:r>
    </w:p>
  </w:endnote>
  <w:endnote w:type="continuationSeparator" w:id="0">
    <w:p w:rsidR="00043877" w:rsidRDefault="00043877" w:rsidP="00AF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77" w:rsidRDefault="00043877" w:rsidP="00AF3B22">
      <w:pPr>
        <w:spacing w:after="0" w:line="240" w:lineRule="auto"/>
      </w:pPr>
      <w:r>
        <w:separator/>
      </w:r>
    </w:p>
  </w:footnote>
  <w:footnote w:type="continuationSeparator" w:id="0">
    <w:p w:rsidR="00043877" w:rsidRDefault="00043877" w:rsidP="00AF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:rsidR="00AF3B22" w:rsidRDefault="00AF3B22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B5AC6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B5AC6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F3B22" w:rsidRDefault="00AF3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388A"/>
    <w:multiLevelType w:val="hybridMultilevel"/>
    <w:tmpl w:val="A3A2F832"/>
    <w:lvl w:ilvl="0" w:tplc="2064E4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B0"/>
    <w:rsid w:val="0000187C"/>
    <w:rsid w:val="00040120"/>
    <w:rsid w:val="00043877"/>
    <w:rsid w:val="00044335"/>
    <w:rsid w:val="00047E9B"/>
    <w:rsid w:val="000743A9"/>
    <w:rsid w:val="00096C73"/>
    <w:rsid w:val="000E40A5"/>
    <w:rsid w:val="000E7FB4"/>
    <w:rsid w:val="00115075"/>
    <w:rsid w:val="00137E6C"/>
    <w:rsid w:val="00154693"/>
    <w:rsid w:val="00163A57"/>
    <w:rsid w:val="00180EE5"/>
    <w:rsid w:val="001A0C37"/>
    <w:rsid w:val="001E1213"/>
    <w:rsid w:val="002919CC"/>
    <w:rsid w:val="002A0E56"/>
    <w:rsid w:val="00357531"/>
    <w:rsid w:val="00397124"/>
    <w:rsid w:val="003D463C"/>
    <w:rsid w:val="004A1F32"/>
    <w:rsid w:val="004D3415"/>
    <w:rsid w:val="004F74DC"/>
    <w:rsid w:val="005025AF"/>
    <w:rsid w:val="00515481"/>
    <w:rsid w:val="00542802"/>
    <w:rsid w:val="005B66A8"/>
    <w:rsid w:val="005C69CF"/>
    <w:rsid w:val="005E5F0D"/>
    <w:rsid w:val="005E6850"/>
    <w:rsid w:val="0060010E"/>
    <w:rsid w:val="006B3ED6"/>
    <w:rsid w:val="006E6507"/>
    <w:rsid w:val="006F5FC0"/>
    <w:rsid w:val="00707D21"/>
    <w:rsid w:val="00731BAC"/>
    <w:rsid w:val="0074147A"/>
    <w:rsid w:val="00757CCD"/>
    <w:rsid w:val="00785210"/>
    <w:rsid w:val="00787E8E"/>
    <w:rsid w:val="007C3002"/>
    <w:rsid w:val="007E019F"/>
    <w:rsid w:val="007F4671"/>
    <w:rsid w:val="008233B1"/>
    <w:rsid w:val="008561A9"/>
    <w:rsid w:val="00870551"/>
    <w:rsid w:val="00875B35"/>
    <w:rsid w:val="00906B55"/>
    <w:rsid w:val="00910E58"/>
    <w:rsid w:val="00923A29"/>
    <w:rsid w:val="00934714"/>
    <w:rsid w:val="009820CD"/>
    <w:rsid w:val="009970B0"/>
    <w:rsid w:val="009B1AC9"/>
    <w:rsid w:val="009B5AC6"/>
    <w:rsid w:val="009D3745"/>
    <w:rsid w:val="009D7BCD"/>
    <w:rsid w:val="009E2317"/>
    <w:rsid w:val="009E3595"/>
    <w:rsid w:val="00A23429"/>
    <w:rsid w:val="00A2570E"/>
    <w:rsid w:val="00A60D2E"/>
    <w:rsid w:val="00AB345B"/>
    <w:rsid w:val="00AD0493"/>
    <w:rsid w:val="00AD1D1C"/>
    <w:rsid w:val="00AF3B22"/>
    <w:rsid w:val="00B86FE0"/>
    <w:rsid w:val="00C6030A"/>
    <w:rsid w:val="00C63F89"/>
    <w:rsid w:val="00C822A5"/>
    <w:rsid w:val="00CB0646"/>
    <w:rsid w:val="00CB4163"/>
    <w:rsid w:val="00CF4BBB"/>
    <w:rsid w:val="00D3134F"/>
    <w:rsid w:val="00D55A0F"/>
    <w:rsid w:val="00D56FAC"/>
    <w:rsid w:val="00D74C4F"/>
    <w:rsid w:val="00DC263D"/>
    <w:rsid w:val="00DC6B40"/>
    <w:rsid w:val="00EB5DDD"/>
    <w:rsid w:val="00F2574E"/>
    <w:rsid w:val="00F47574"/>
    <w:rsid w:val="00F64A8F"/>
    <w:rsid w:val="00F83CF0"/>
    <w:rsid w:val="00FB2ADE"/>
    <w:rsid w:val="00FB5E52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A4C66-FF06-4349-AEB5-55B361B5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D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3A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22"/>
  </w:style>
  <w:style w:type="paragraph" w:styleId="Footer">
    <w:name w:val="footer"/>
    <w:basedOn w:val="Normal"/>
    <w:link w:val="FooterChar"/>
    <w:uiPriority w:val="99"/>
    <w:unhideWhenUsed/>
    <w:rsid w:val="00AF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Boitumelo Dube</cp:lastModifiedBy>
  <cp:revision>2</cp:revision>
  <cp:lastPrinted>2020-07-25T14:54:00Z</cp:lastPrinted>
  <dcterms:created xsi:type="dcterms:W3CDTF">2020-07-27T07:55:00Z</dcterms:created>
  <dcterms:modified xsi:type="dcterms:W3CDTF">2020-07-27T07:55:00Z</dcterms:modified>
</cp:coreProperties>
</file>