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CC" w:rsidRPr="00B432CC" w:rsidRDefault="00B432CC" w:rsidP="00B432CC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8"/>
          <w:u w:val="single"/>
          <w:lang w:val="en-US"/>
        </w:rPr>
      </w:pPr>
      <w:r w:rsidRPr="00B432CC">
        <w:rPr>
          <w:rFonts w:ascii="Calibri" w:eastAsia="Calibri" w:hAnsi="Calibri" w:cs="Times New Roman"/>
          <w:noProof/>
          <w:lang w:eastAsia="en-ZA"/>
        </w:rPr>
        <w:drawing>
          <wp:inline distT="0" distB="0" distL="0" distR="0" wp14:anchorId="1B5938FE" wp14:editId="48EC323A">
            <wp:extent cx="1533525" cy="1533525"/>
            <wp:effectExtent l="0" t="0" r="9525" b="9525"/>
            <wp:docPr id="1" name="Picture 1" descr="cid:image001.png@01D0BF16.DA35A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BF16.DA35A98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2CC" w:rsidRPr="00B432CC" w:rsidRDefault="00B432CC" w:rsidP="00B432CC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US"/>
        </w:rPr>
      </w:pPr>
      <w:r w:rsidRPr="00B432CC">
        <w:rPr>
          <w:rFonts w:ascii="Arial" w:eastAsia="Calibri" w:hAnsi="Arial" w:cs="Arial"/>
          <w:b/>
          <w:bCs/>
          <w:sz w:val="24"/>
          <w:szCs w:val="24"/>
          <w:lang w:val="en-US"/>
        </w:rPr>
        <w:t>THE HIGH COURT OF SOUTH AFRICA</w:t>
      </w:r>
    </w:p>
    <w:p w:rsidR="00B432CC" w:rsidRPr="00B432CC" w:rsidRDefault="00B432CC" w:rsidP="00B432CC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  <w:r w:rsidRPr="00B432CC">
        <w:rPr>
          <w:rFonts w:ascii="Arial" w:eastAsia="Calibri" w:hAnsi="Arial" w:cs="Arial"/>
          <w:b/>
          <w:sz w:val="24"/>
          <w:szCs w:val="24"/>
          <w:lang w:val="en-US"/>
        </w:rPr>
        <w:t>GAUTENG LOCAL DIVISION, JOHANNESBURG</w:t>
      </w:r>
    </w:p>
    <w:p w:rsidR="00B432CC" w:rsidRPr="00B432CC" w:rsidRDefault="00B432CC" w:rsidP="00B432C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OPPOSED MOTION ROLL – WEEK 1 (TERM: 4)</w:t>
      </w:r>
    </w:p>
    <w:p w:rsidR="00B432CC" w:rsidRPr="00B432CC" w:rsidRDefault="00B432CC" w:rsidP="00B432CC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en-GB"/>
        </w:rPr>
      </w:pPr>
      <w:r w:rsidRPr="00B432CC">
        <w:rPr>
          <w:rFonts w:ascii="Arial" w:eastAsia="Times New Roman" w:hAnsi="Arial" w:cs="Arial"/>
          <w:b/>
          <w:sz w:val="24"/>
          <w:szCs w:val="24"/>
          <w:lang w:val="en-GB" w:eastAsia="en-GB"/>
        </w:rPr>
        <w:t>Before the Honourable Senyatsi J</w:t>
      </w:r>
      <w:r w:rsidRPr="00B432CC">
        <w:rPr>
          <w:rFonts w:ascii="Arial" w:eastAsia="Times New Roman" w:hAnsi="Arial" w:cs="Arial"/>
          <w:b/>
          <w:sz w:val="24"/>
          <w:szCs w:val="24"/>
          <w:vertAlign w:val="superscript"/>
          <w:lang w:val="en-GB" w:eastAsia="en-GB"/>
        </w:rPr>
        <w:footnoteReference w:id="1"/>
      </w:r>
    </w:p>
    <w:p w:rsidR="00B432CC" w:rsidRPr="00B432CC" w:rsidRDefault="00B432CC" w:rsidP="00B432CC">
      <w:pPr>
        <w:suppressAutoHyphens/>
        <w:spacing w:after="120" w:line="240" w:lineRule="auto"/>
        <w:rPr>
          <w:rFonts w:ascii="Arial" w:eastAsia="Times New Roman" w:hAnsi="Arial" w:cs="Times New Roman"/>
          <w:b/>
          <w:sz w:val="28"/>
          <w:szCs w:val="28"/>
          <w:lang w:val="en-GB" w:eastAsia="en-GB"/>
        </w:rPr>
      </w:pPr>
    </w:p>
    <w:p w:rsidR="00B432CC" w:rsidRPr="00B432CC" w:rsidRDefault="00B432CC" w:rsidP="00B432CC">
      <w:pPr>
        <w:suppressAutoHyphens/>
        <w:spacing w:after="120" w:line="240" w:lineRule="auto"/>
        <w:jc w:val="center"/>
        <w:rPr>
          <w:rFonts w:ascii="Arial" w:eastAsia="Times New Roman" w:hAnsi="Arial" w:cs="Times New Roman"/>
          <w:b/>
          <w:sz w:val="28"/>
          <w:szCs w:val="28"/>
          <w:u w:val="single"/>
          <w:lang w:val="en-GB" w:eastAsia="en-GB"/>
        </w:rPr>
      </w:pPr>
      <w:r w:rsidRPr="00B432CC">
        <w:rPr>
          <w:rFonts w:ascii="Arial" w:eastAsia="Times New Roman" w:hAnsi="Arial" w:cs="Times New Roman"/>
          <w:b/>
          <w:sz w:val="28"/>
          <w:szCs w:val="28"/>
          <w:u w:val="single"/>
          <w:lang w:val="en-GB" w:eastAsia="en-GB"/>
        </w:rPr>
        <w:t>DIRECTIVE</w:t>
      </w:r>
    </w:p>
    <w:p w:rsidR="00B432CC" w:rsidRPr="00B432CC" w:rsidRDefault="00B432CC" w:rsidP="00B432CC">
      <w:pPr>
        <w:widowControl w:val="0"/>
        <w:autoSpaceDE w:val="0"/>
        <w:autoSpaceDN w:val="0"/>
        <w:spacing w:before="1" w:after="0" w:line="362" w:lineRule="auto"/>
        <w:ind w:right="275"/>
        <w:jc w:val="both"/>
        <w:rPr>
          <w:rFonts w:ascii="Arial" w:eastAsia="Times New Roman" w:hAnsi="Arial" w:cs="Times New Roman"/>
          <w:b/>
          <w:sz w:val="24"/>
          <w:szCs w:val="24"/>
          <w:lang w:val="en-GB" w:eastAsia="en-GB"/>
        </w:rPr>
      </w:pPr>
    </w:p>
    <w:p w:rsidR="00B432CC" w:rsidRPr="00B432CC" w:rsidRDefault="00B432CC" w:rsidP="00B432CC">
      <w:pPr>
        <w:widowControl w:val="0"/>
        <w:autoSpaceDE w:val="0"/>
        <w:autoSpaceDN w:val="0"/>
        <w:spacing w:before="1" w:after="0" w:line="362" w:lineRule="auto"/>
        <w:ind w:right="275"/>
        <w:jc w:val="both"/>
        <w:rPr>
          <w:rFonts w:ascii="Arial" w:eastAsia="Arial" w:hAnsi="Arial" w:cs="Arial"/>
          <w:b/>
          <w:iCs/>
          <w:spacing w:val="-59"/>
          <w:sz w:val="20"/>
          <w:szCs w:val="20"/>
          <w:u w:val="single"/>
          <w:lang w:val="en-US"/>
        </w:rPr>
      </w:pPr>
      <w:r>
        <w:rPr>
          <w:rFonts w:ascii="Arial" w:eastAsia="Arial" w:hAnsi="Arial" w:cs="Arial"/>
          <w:iCs/>
          <w:sz w:val="20"/>
          <w:szCs w:val="20"/>
          <w:lang w:val="en-US"/>
        </w:rPr>
        <w:t>T</w:t>
      </w:r>
      <w:r w:rsidRPr="00B432CC">
        <w:rPr>
          <w:rFonts w:ascii="Arial" w:eastAsia="Arial" w:hAnsi="Arial" w:cs="Arial"/>
          <w:iCs/>
          <w:sz w:val="20"/>
          <w:szCs w:val="20"/>
          <w:lang w:val="en-US"/>
        </w:rPr>
        <w:t>he</w:t>
      </w:r>
      <w:r w:rsidRPr="00B432CC">
        <w:rPr>
          <w:rFonts w:ascii="Arial" w:eastAsia="Arial" w:hAnsi="Arial" w:cs="Arial"/>
          <w:iCs/>
          <w:spacing w:val="-12"/>
          <w:sz w:val="20"/>
          <w:szCs w:val="20"/>
          <w:lang w:val="en-US"/>
        </w:rPr>
        <w:t xml:space="preserve"> </w:t>
      </w:r>
      <w:proofErr w:type="spellStart"/>
      <w:r w:rsidRPr="00B432CC">
        <w:rPr>
          <w:rFonts w:ascii="Arial" w:eastAsia="Arial" w:hAnsi="Arial" w:cs="Arial"/>
          <w:iCs/>
          <w:sz w:val="20"/>
          <w:szCs w:val="20"/>
          <w:lang w:val="en-US"/>
        </w:rPr>
        <w:t>Honourable</w:t>
      </w:r>
      <w:proofErr w:type="spellEnd"/>
      <w:r w:rsidRPr="00B432CC">
        <w:rPr>
          <w:rFonts w:ascii="Arial" w:eastAsia="Arial" w:hAnsi="Arial" w:cs="Arial"/>
          <w:iCs/>
          <w:sz w:val="20"/>
          <w:szCs w:val="20"/>
          <w:lang w:val="en-US"/>
        </w:rPr>
        <w:t xml:space="preserve"> </w:t>
      </w:r>
      <w:proofErr w:type="spellStart"/>
      <w:r w:rsidRPr="00B432CC">
        <w:rPr>
          <w:rFonts w:ascii="Arial" w:eastAsia="Arial" w:hAnsi="Arial" w:cs="Arial"/>
          <w:iCs/>
          <w:sz w:val="20"/>
          <w:szCs w:val="20"/>
          <w:lang w:val="en-US"/>
        </w:rPr>
        <w:t>Senyatsi</w:t>
      </w:r>
      <w:proofErr w:type="spellEnd"/>
      <w:r w:rsidRPr="00B432CC">
        <w:rPr>
          <w:rFonts w:ascii="Arial" w:eastAsia="Arial" w:hAnsi="Arial" w:cs="Arial"/>
          <w:iCs/>
          <w:sz w:val="20"/>
          <w:szCs w:val="20"/>
          <w:lang w:val="en-US"/>
        </w:rPr>
        <w:t xml:space="preserve"> J has issued the following instructions for </w:t>
      </w:r>
      <w:r>
        <w:rPr>
          <w:rFonts w:ascii="Arial" w:eastAsia="Arial" w:hAnsi="Arial" w:cs="Arial"/>
          <w:iCs/>
          <w:sz w:val="20"/>
          <w:szCs w:val="20"/>
          <w:lang w:val="en-US"/>
        </w:rPr>
        <w:t>opposed</w:t>
      </w:r>
      <w:r w:rsidRPr="00B432CC">
        <w:rPr>
          <w:rFonts w:ascii="Arial" w:eastAsia="Arial" w:hAnsi="Arial" w:cs="Arial"/>
          <w:iCs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iCs/>
          <w:sz w:val="20"/>
          <w:szCs w:val="20"/>
          <w:lang w:val="en-US"/>
        </w:rPr>
        <w:t xml:space="preserve">motion </w:t>
      </w:r>
      <w:r w:rsidRPr="00B432CC">
        <w:rPr>
          <w:rFonts w:ascii="Arial" w:eastAsia="Arial" w:hAnsi="Arial" w:cs="Arial"/>
          <w:iCs/>
          <w:sz w:val="20"/>
          <w:szCs w:val="20"/>
          <w:lang w:val="en-US"/>
        </w:rPr>
        <w:t>ap</w:t>
      </w:r>
      <w:r>
        <w:rPr>
          <w:rFonts w:ascii="Arial" w:eastAsia="Arial" w:hAnsi="Arial" w:cs="Arial"/>
          <w:iCs/>
          <w:sz w:val="20"/>
          <w:szCs w:val="20"/>
          <w:lang w:val="en-US"/>
        </w:rPr>
        <w:t>plications enrolled for the</w:t>
      </w:r>
      <w:r w:rsidRPr="00B432CC">
        <w:rPr>
          <w:rFonts w:ascii="Arial" w:eastAsia="Arial" w:hAnsi="Arial" w:cs="Arial"/>
          <w:iCs/>
          <w:spacing w:val="1"/>
          <w:sz w:val="20"/>
          <w:szCs w:val="20"/>
          <w:lang w:val="en-US"/>
        </w:rPr>
        <w:t xml:space="preserve"> </w:t>
      </w:r>
      <w:r w:rsidRPr="00B432CC">
        <w:rPr>
          <w:rFonts w:ascii="Arial" w:eastAsia="Arial" w:hAnsi="Arial" w:cs="Arial"/>
          <w:iCs/>
          <w:sz w:val="20"/>
          <w:szCs w:val="20"/>
          <w:lang w:val="en-US"/>
        </w:rPr>
        <w:t>week</w:t>
      </w:r>
      <w:r w:rsidRPr="00B432CC">
        <w:rPr>
          <w:rFonts w:ascii="Arial" w:eastAsia="Arial" w:hAnsi="Arial" w:cs="Arial"/>
          <w:iCs/>
          <w:spacing w:val="-4"/>
          <w:sz w:val="20"/>
          <w:szCs w:val="20"/>
          <w:lang w:val="en-US"/>
        </w:rPr>
        <w:t xml:space="preserve"> </w:t>
      </w:r>
      <w:r w:rsidRPr="00B432CC">
        <w:rPr>
          <w:rFonts w:ascii="Arial" w:eastAsia="Arial" w:hAnsi="Arial" w:cs="Arial"/>
          <w:iCs/>
          <w:sz w:val="20"/>
          <w:szCs w:val="20"/>
          <w:lang w:val="en-US"/>
        </w:rPr>
        <w:t>of</w:t>
      </w:r>
      <w:r>
        <w:rPr>
          <w:rFonts w:ascii="Arial" w:eastAsia="Arial" w:hAnsi="Arial" w:cs="Arial"/>
          <w:iCs/>
          <w:spacing w:val="-3"/>
          <w:sz w:val="20"/>
          <w:szCs w:val="20"/>
          <w:lang w:val="en-US"/>
        </w:rPr>
        <w:t xml:space="preserve"> </w:t>
      </w:r>
      <w:r w:rsidR="00F81542">
        <w:rPr>
          <w:rFonts w:ascii="Arial" w:eastAsia="Arial" w:hAnsi="Arial" w:cs="Arial"/>
          <w:b/>
          <w:iCs/>
          <w:spacing w:val="-3"/>
          <w:sz w:val="20"/>
          <w:szCs w:val="20"/>
          <w:u w:val="single"/>
          <w:lang w:val="en-US"/>
        </w:rPr>
        <w:t>22 November 2021 to 26 November 2021</w:t>
      </w:r>
      <w:r w:rsidRPr="00B432CC">
        <w:rPr>
          <w:rFonts w:ascii="Arial" w:eastAsia="Arial" w:hAnsi="Arial" w:cs="Arial"/>
          <w:b/>
          <w:iCs/>
          <w:sz w:val="20"/>
          <w:szCs w:val="20"/>
          <w:u w:val="single"/>
          <w:lang w:val="en-US"/>
        </w:rPr>
        <w:t>:</w:t>
      </w:r>
    </w:p>
    <w:p w:rsidR="00B432CC" w:rsidRPr="00B432CC" w:rsidRDefault="00B432CC" w:rsidP="00B432CC">
      <w:pPr>
        <w:spacing w:before="6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32CC" w:rsidRPr="00B432CC" w:rsidRDefault="00B432CC" w:rsidP="00B432CC">
      <w:pPr>
        <w:numPr>
          <w:ilvl w:val="0"/>
          <w:numId w:val="1"/>
        </w:numPr>
        <w:suppressAutoHyphens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B432CC">
        <w:rPr>
          <w:rFonts w:ascii="Arial" w:hAnsi="Arial" w:cs="Arial"/>
          <w:sz w:val="20"/>
          <w:szCs w:val="20"/>
        </w:rPr>
        <w:t xml:space="preserve">Parties are required to fully upload </w:t>
      </w:r>
      <w:r>
        <w:rPr>
          <w:rFonts w:ascii="Arial" w:hAnsi="Arial" w:cs="Arial"/>
          <w:sz w:val="20"/>
          <w:szCs w:val="20"/>
        </w:rPr>
        <w:t xml:space="preserve">all outstanding documents </w:t>
      </w:r>
      <w:r w:rsidRPr="00B432CC">
        <w:rPr>
          <w:rFonts w:ascii="Arial" w:hAnsi="Arial" w:cs="Arial"/>
          <w:sz w:val="20"/>
          <w:szCs w:val="20"/>
        </w:rPr>
        <w:t xml:space="preserve">to </w:t>
      </w:r>
      <w:proofErr w:type="spellStart"/>
      <w:r w:rsidRPr="00B432CC">
        <w:rPr>
          <w:rFonts w:ascii="Arial" w:hAnsi="Arial" w:cs="Arial"/>
          <w:sz w:val="20"/>
          <w:szCs w:val="20"/>
        </w:rPr>
        <w:t>CaseLines</w:t>
      </w:r>
      <w:proofErr w:type="spellEnd"/>
      <w:r w:rsidRPr="00B432CC">
        <w:rPr>
          <w:rFonts w:ascii="Arial" w:hAnsi="Arial" w:cs="Arial"/>
          <w:sz w:val="20"/>
          <w:szCs w:val="20"/>
        </w:rPr>
        <w:t xml:space="preserve"> by</w:t>
      </w:r>
      <w:r w:rsidRPr="00B432CC">
        <w:rPr>
          <w:rFonts w:ascii="Arial" w:hAnsi="Arial" w:cs="Arial"/>
          <w:spacing w:val="1"/>
          <w:sz w:val="20"/>
          <w:szCs w:val="20"/>
        </w:rPr>
        <w:t xml:space="preserve"> latest </w:t>
      </w:r>
      <w:r w:rsidR="00F81542">
        <w:rPr>
          <w:rFonts w:ascii="Arial" w:hAnsi="Arial" w:cs="Arial"/>
          <w:b/>
          <w:sz w:val="20"/>
          <w:szCs w:val="20"/>
          <w:u w:val="single"/>
        </w:rPr>
        <w:t>Wednesday, 18 November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 xml:space="preserve"> 2021</w:t>
      </w:r>
      <w:r w:rsidRPr="00B432CC">
        <w:rPr>
          <w:rFonts w:ascii="Arial" w:hAnsi="Arial" w:cs="Arial"/>
          <w:sz w:val="20"/>
          <w:szCs w:val="20"/>
        </w:rPr>
        <w:t>. The Case</w:t>
      </w:r>
      <w:r>
        <w:rPr>
          <w:rFonts w:ascii="Arial" w:hAnsi="Arial" w:cs="Arial"/>
          <w:sz w:val="20"/>
          <w:szCs w:val="20"/>
        </w:rPr>
        <w:t xml:space="preserve"> </w:t>
      </w:r>
      <w:r w:rsidRPr="00B432CC">
        <w:rPr>
          <w:rFonts w:ascii="Arial" w:hAnsi="Arial" w:cs="Arial"/>
          <w:sz w:val="20"/>
          <w:szCs w:val="20"/>
        </w:rPr>
        <w:t>Lines bundle will be frozen thereafter.</w:t>
      </w:r>
      <w:r w:rsidRPr="00B432CC">
        <w:rPr>
          <w:rFonts w:ascii="Arial" w:hAnsi="Arial" w:cs="Arial"/>
          <w:spacing w:val="-59"/>
          <w:sz w:val="20"/>
          <w:szCs w:val="20"/>
        </w:rPr>
        <w:t xml:space="preserve"> </w:t>
      </w:r>
      <w:r>
        <w:rPr>
          <w:rFonts w:ascii="Arial" w:hAnsi="Arial" w:cs="Arial"/>
          <w:spacing w:val="-59"/>
          <w:sz w:val="20"/>
          <w:szCs w:val="20"/>
        </w:rPr>
        <w:t xml:space="preserve">   </w:t>
      </w:r>
      <w:r w:rsidRPr="00B432CC">
        <w:rPr>
          <w:rFonts w:ascii="Arial" w:hAnsi="Arial" w:cs="Arial"/>
          <w:sz w:val="20"/>
          <w:szCs w:val="20"/>
        </w:rPr>
        <w:t>Parties are urged to comply.</w:t>
      </w:r>
      <w:r w:rsidRPr="00B432C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</w:p>
    <w:p w:rsidR="00B432CC" w:rsidRDefault="00B432CC" w:rsidP="00B432CC">
      <w:pPr>
        <w:widowControl w:val="0"/>
        <w:numPr>
          <w:ilvl w:val="0"/>
          <w:numId w:val="1"/>
        </w:numPr>
        <w:tabs>
          <w:tab w:val="left" w:pos="687"/>
        </w:tabs>
        <w:autoSpaceDE w:val="0"/>
        <w:autoSpaceDN w:val="0"/>
        <w:spacing w:before="158" w:after="0" w:line="360" w:lineRule="auto"/>
        <w:ind w:right="2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</w:t>
      </w:r>
      <w:r w:rsidRPr="00B432CC">
        <w:rPr>
          <w:rFonts w:ascii="Arial" w:hAnsi="Arial" w:cs="Arial"/>
          <w:sz w:val="20"/>
          <w:szCs w:val="20"/>
        </w:rPr>
        <w:t>hearings will proceed via video conference on MS Teams. The link is attached to the roll provided.</w:t>
      </w:r>
      <w:r w:rsidRPr="00B432CC">
        <w:rPr>
          <w:rFonts w:ascii="Arial" w:hAnsi="Arial" w:cs="Arial"/>
          <w:spacing w:val="1"/>
          <w:sz w:val="20"/>
          <w:szCs w:val="20"/>
        </w:rPr>
        <w:t xml:space="preserve"> </w:t>
      </w:r>
      <w:r w:rsidRPr="00B432CC">
        <w:rPr>
          <w:rFonts w:ascii="Arial" w:hAnsi="Arial" w:cs="Arial"/>
          <w:sz w:val="20"/>
          <w:szCs w:val="20"/>
        </w:rPr>
        <w:t>Legal</w:t>
      </w:r>
      <w:r w:rsidRPr="00B432CC">
        <w:rPr>
          <w:rFonts w:ascii="Arial" w:hAnsi="Arial" w:cs="Arial"/>
          <w:spacing w:val="1"/>
          <w:sz w:val="20"/>
          <w:szCs w:val="20"/>
        </w:rPr>
        <w:t xml:space="preserve"> </w:t>
      </w:r>
      <w:r w:rsidRPr="00B432CC">
        <w:rPr>
          <w:rFonts w:ascii="Arial" w:hAnsi="Arial" w:cs="Arial"/>
          <w:sz w:val="20"/>
          <w:szCs w:val="20"/>
        </w:rPr>
        <w:t>practitioners</w:t>
      </w:r>
      <w:r w:rsidRPr="00B432CC">
        <w:rPr>
          <w:rFonts w:ascii="Arial" w:hAnsi="Arial" w:cs="Arial"/>
          <w:spacing w:val="1"/>
          <w:sz w:val="20"/>
          <w:szCs w:val="20"/>
        </w:rPr>
        <w:t xml:space="preserve"> </w:t>
      </w:r>
      <w:r w:rsidRPr="00B432CC">
        <w:rPr>
          <w:rFonts w:ascii="Arial" w:hAnsi="Arial" w:cs="Arial"/>
          <w:sz w:val="20"/>
          <w:szCs w:val="20"/>
        </w:rPr>
        <w:t>are</w:t>
      </w:r>
      <w:r w:rsidRPr="00B432CC">
        <w:rPr>
          <w:rFonts w:ascii="Arial" w:hAnsi="Arial" w:cs="Arial"/>
          <w:spacing w:val="1"/>
          <w:sz w:val="20"/>
          <w:szCs w:val="20"/>
        </w:rPr>
        <w:t xml:space="preserve"> </w:t>
      </w:r>
      <w:r w:rsidRPr="00B432CC">
        <w:rPr>
          <w:rFonts w:ascii="Arial" w:hAnsi="Arial" w:cs="Arial"/>
          <w:sz w:val="20"/>
          <w:szCs w:val="20"/>
        </w:rPr>
        <w:t>expected</w:t>
      </w:r>
      <w:r w:rsidRPr="00B432CC">
        <w:rPr>
          <w:rFonts w:ascii="Arial" w:hAnsi="Arial" w:cs="Arial"/>
          <w:spacing w:val="1"/>
          <w:sz w:val="20"/>
          <w:szCs w:val="20"/>
        </w:rPr>
        <w:t xml:space="preserve"> </w:t>
      </w:r>
      <w:r w:rsidRPr="00B432CC">
        <w:rPr>
          <w:rFonts w:ascii="Arial" w:hAnsi="Arial" w:cs="Arial"/>
          <w:sz w:val="20"/>
          <w:szCs w:val="20"/>
        </w:rPr>
        <w:t>to</w:t>
      </w:r>
      <w:r w:rsidRPr="00B432CC">
        <w:rPr>
          <w:rFonts w:ascii="Arial" w:hAnsi="Arial" w:cs="Arial"/>
          <w:spacing w:val="1"/>
          <w:sz w:val="20"/>
          <w:szCs w:val="20"/>
        </w:rPr>
        <w:t xml:space="preserve"> </w:t>
      </w:r>
      <w:r w:rsidRPr="00B432CC">
        <w:rPr>
          <w:rFonts w:ascii="Arial" w:hAnsi="Arial" w:cs="Arial"/>
          <w:sz w:val="20"/>
          <w:szCs w:val="20"/>
        </w:rPr>
        <w:t>familiarise</w:t>
      </w:r>
      <w:r w:rsidRPr="00B432CC">
        <w:rPr>
          <w:rFonts w:ascii="Arial" w:hAnsi="Arial" w:cs="Arial"/>
          <w:spacing w:val="1"/>
          <w:sz w:val="20"/>
          <w:szCs w:val="20"/>
        </w:rPr>
        <w:t xml:space="preserve"> </w:t>
      </w:r>
      <w:r w:rsidRPr="00B432CC">
        <w:rPr>
          <w:rFonts w:ascii="Arial" w:hAnsi="Arial" w:cs="Arial"/>
          <w:sz w:val="20"/>
          <w:szCs w:val="20"/>
        </w:rPr>
        <w:t>themselves</w:t>
      </w:r>
      <w:r w:rsidRPr="00B432CC">
        <w:rPr>
          <w:rFonts w:ascii="Arial" w:hAnsi="Arial" w:cs="Arial"/>
          <w:spacing w:val="1"/>
          <w:sz w:val="20"/>
          <w:szCs w:val="20"/>
        </w:rPr>
        <w:t xml:space="preserve"> </w:t>
      </w:r>
      <w:r w:rsidRPr="00B432CC">
        <w:rPr>
          <w:rFonts w:ascii="Arial" w:hAnsi="Arial" w:cs="Arial"/>
          <w:sz w:val="20"/>
          <w:szCs w:val="20"/>
        </w:rPr>
        <w:t>with</w:t>
      </w:r>
      <w:r w:rsidRPr="00B432CC">
        <w:rPr>
          <w:rFonts w:ascii="Arial" w:hAnsi="Arial" w:cs="Arial"/>
          <w:spacing w:val="1"/>
          <w:sz w:val="20"/>
          <w:szCs w:val="20"/>
        </w:rPr>
        <w:t xml:space="preserve"> </w:t>
      </w:r>
      <w:r w:rsidRPr="00B432CC">
        <w:rPr>
          <w:rFonts w:ascii="Arial" w:hAnsi="Arial" w:cs="Arial"/>
          <w:sz w:val="20"/>
          <w:szCs w:val="20"/>
        </w:rPr>
        <w:t>the</w:t>
      </w:r>
      <w:r w:rsidRPr="00B432CC">
        <w:rPr>
          <w:rFonts w:ascii="Arial" w:hAnsi="Arial" w:cs="Arial"/>
          <w:spacing w:val="1"/>
          <w:sz w:val="20"/>
          <w:szCs w:val="20"/>
        </w:rPr>
        <w:t xml:space="preserve"> </w:t>
      </w:r>
      <w:r w:rsidRPr="00B432CC">
        <w:rPr>
          <w:rFonts w:ascii="Arial" w:hAnsi="Arial" w:cs="Arial"/>
          <w:sz w:val="20"/>
          <w:szCs w:val="20"/>
        </w:rPr>
        <w:t>video</w:t>
      </w:r>
      <w:r w:rsidRPr="00B432CC">
        <w:rPr>
          <w:rFonts w:ascii="Arial" w:hAnsi="Arial" w:cs="Arial"/>
          <w:spacing w:val="1"/>
          <w:sz w:val="20"/>
          <w:szCs w:val="20"/>
        </w:rPr>
        <w:t xml:space="preserve"> </w:t>
      </w:r>
      <w:r w:rsidRPr="00B432CC">
        <w:rPr>
          <w:rFonts w:ascii="Arial" w:hAnsi="Arial" w:cs="Arial"/>
          <w:sz w:val="20"/>
          <w:szCs w:val="20"/>
        </w:rPr>
        <w:t>conference etiquette guidelines set out in the Consolidated Practice Directive.</w:t>
      </w:r>
      <w:r>
        <w:rPr>
          <w:rFonts w:ascii="Arial" w:hAnsi="Arial" w:cs="Arial"/>
          <w:sz w:val="20"/>
          <w:szCs w:val="20"/>
        </w:rPr>
        <w:t xml:space="preserve"> More importantly, legal practitioners are expected to familiarise themselves with sharing documents on the MS Teams platform.</w:t>
      </w:r>
      <w:r w:rsidRPr="00B432CC">
        <w:rPr>
          <w:rFonts w:ascii="Arial" w:hAnsi="Arial" w:cs="Arial"/>
          <w:sz w:val="20"/>
          <w:szCs w:val="20"/>
        </w:rPr>
        <w:t xml:space="preserve"> Parties </w:t>
      </w:r>
      <w:r w:rsidRPr="00B432CC">
        <w:rPr>
          <w:rFonts w:ascii="Arial" w:hAnsi="Arial" w:cs="Arial"/>
          <w:b/>
          <w:sz w:val="20"/>
          <w:szCs w:val="20"/>
          <w:u w:val="single"/>
        </w:rPr>
        <w:t>may not</w:t>
      </w:r>
      <w:r w:rsidRPr="00B432CC">
        <w:rPr>
          <w:rFonts w:ascii="Arial" w:hAnsi="Arial" w:cs="Arial"/>
          <w:sz w:val="20"/>
          <w:szCs w:val="20"/>
        </w:rPr>
        <w:t xml:space="preserve"> record or take photographs of the proceedings without the leave of the</w:t>
      </w:r>
      <w:r w:rsidRPr="00B432CC">
        <w:rPr>
          <w:rFonts w:ascii="Arial" w:hAnsi="Arial" w:cs="Arial"/>
          <w:spacing w:val="1"/>
          <w:sz w:val="20"/>
          <w:szCs w:val="20"/>
        </w:rPr>
        <w:t xml:space="preserve"> </w:t>
      </w:r>
      <w:r w:rsidRPr="00B432CC">
        <w:rPr>
          <w:rFonts w:ascii="Arial" w:hAnsi="Arial" w:cs="Arial"/>
          <w:sz w:val="20"/>
          <w:szCs w:val="20"/>
        </w:rPr>
        <w:t>Court.</w:t>
      </w:r>
    </w:p>
    <w:p w:rsidR="00B432CC" w:rsidRPr="00B432CC" w:rsidRDefault="00B432CC" w:rsidP="00B432CC">
      <w:pPr>
        <w:widowControl w:val="0"/>
        <w:tabs>
          <w:tab w:val="left" w:pos="687"/>
        </w:tabs>
        <w:autoSpaceDE w:val="0"/>
        <w:autoSpaceDN w:val="0"/>
        <w:spacing w:before="158" w:after="0" w:line="360" w:lineRule="auto"/>
        <w:ind w:left="643" w:right="273"/>
        <w:jc w:val="both"/>
        <w:rPr>
          <w:rFonts w:ascii="Arial" w:hAnsi="Arial" w:cs="Arial"/>
          <w:sz w:val="20"/>
          <w:szCs w:val="20"/>
        </w:rPr>
      </w:pPr>
    </w:p>
    <w:p w:rsidR="00B432CC" w:rsidRDefault="00B432CC" w:rsidP="00B432CC">
      <w:pPr>
        <w:numPr>
          <w:ilvl w:val="0"/>
          <w:numId w:val="1"/>
        </w:numPr>
        <w:suppressAutoHyphens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>
        <w:rPr>
          <w:rFonts w:ascii="Arial" w:eastAsia="Times New Roman" w:hAnsi="Arial" w:cs="Arial"/>
          <w:sz w:val="20"/>
          <w:szCs w:val="20"/>
          <w:lang w:val="en-GB" w:eastAsia="en-GB"/>
        </w:rPr>
        <w:t>D</w:t>
      </w:r>
      <w:r w:rsidRPr="00B432CC">
        <w:rPr>
          <w:rFonts w:ascii="Arial" w:eastAsia="Times New Roman" w:hAnsi="Arial" w:cs="Arial"/>
          <w:sz w:val="20"/>
          <w:szCs w:val="20"/>
          <w:lang w:val="en-GB" w:eastAsia="en-GB"/>
        </w:rPr>
        <w:t>raft order</w:t>
      </w:r>
      <w:r>
        <w:rPr>
          <w:rFonts w:ascii="Arial" w:eastAsia="Times New Roman" w:hAnsi="Arial" w:cs="Arial"/>
          <w:sz w:val="20"/>
          <w:szCs w:val="20"/>
          <w:lang w:val="en-GB" w:eastAsia="en-GB"/>
        </w:rPr>
        <w:t>s (reflectin</w:t>
      </w:r>
      <w:r w:rsidRPr="00B432C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g Counsel's names, email address and cell number) in Microsoft Word format must be presented among the documents uploaded to </w:t>
      </w:r>
      <w:proofErr w:type="spellStart"/>
      <w:r w:rsidRPr="00B432CC">
        <w:rPr>
          <w:rFonts w:ascii="Arial" w:eastAsia="Times New Roman" w:hAnsi="Arial" w:cs="Arial"/>
          <w:sz w:val="20"/>
          <w:szCs w:val="20"/>
          <w:lang w:val="en-GB" w:eastAsia="en-GB"/>
        </w:rPr>
        <w:t>CaseLines</w:t>
      </w:r>
      <w:proofErr w:type="spellEnd"/>
      <w:r w:rsidRPr="00B432CC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also transmitted by email to the Judges Registrar on the email address provided.</w:t>
      </w:r>
    </w:p>
    <w:p w:rsidR="00B432CC" w:rsidRDefault="00B432CC" w:rsidP="00B432CC">
      <w:pPr>
        <w:pStyle w:val="ListParagrap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B432CC" w:rsidRPr="00B432CC" w:rsidRDefault="00B432CC" w:rsidP="00B432CC">
      <w:pPr>
        <w:numPr>
          <w:ilvl w:val="0"/>
          <w:numId w:val="1"/>
        </w:numPr>
        <w:suppressAutoHyphens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B432CC">
        <w:rPr>
          <w:rFonts w:ascii="Arial" w:eastAsia="Times New Roman" w:hAnsi="Arial" w:cs="Arial"/>
          <w:sz w:val="20"/>
          <w:szCs w:val="20"/>
          <w:lang w:val="en-GB" w:eastAsia="en-GB"/>
        </w:rPr>
        <w:t>Any removals, postponements, or settlements must be</w:t>
      </w:r>
      <w:r w:rsidR="000B6CE8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immediately communicated to the Judges Registrar.</w:t>
      </w:r>
    </w:p>
    <w:p w:rsidR="003E52B1" w:rsidRDefault="003E52B1"/>
    <w:sectPr w:rsidR="003E5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107" w:rsidRDefault="000F2107" w:rsidP="00B432CC">
      <w:pPr>
        <w:spacing w:after="0" w:line="240" w:lineRule="auto"/>
      </w:pPr>
      <w:r>
        <w:separator/>
      </w:r>
    </w:p>
  </w:endnote>
  <w:endnote w:type="continuationSeparator" w:id="0">
    <w:p w:rsidR="000F2107" w:rsidRDefault="000F2107" w:rsidP="00B4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107" w:rsidRDefault="000F2107" w:rsidP="00B432CC">
      <w:pPr>
        <w:spacing w:after="0" w:line="240" w:lineRule="auto"/>
      </w:pPr>
      <w:r>
        <w:separator/>
      </w:r>
    </w:p>
  </w:footnote>
  <w:footnote w:type="continuationSeparator" w:id="0">
    <w:p w:rsidR="000F2107" w:rsidRDefault="000F2107" w:rsidP="00B432CC">
      <w:pPr>
        <w:spacing w:after="0" w:line="240" w:lineRule="auto"/>
      </w:pPr>
      <w:r>
        <w:continuationSeparator/>
      </w:r>
    </w:p>
  </w:footnote>
  <w:footnote w:id="1">
    <w:p w:rsidR="00B432CC" w:rsidRPr="00BC17AB" w:rsidRDefault="00B432CC" w:rsidP="00B432CC">
      <w:pPr>
        <w:pStyle w:val="FootnoteText"/>
        <w:rPr>
          <w:rFonts w:asciiTheme="minorHAnsi" w:hAnsiTheme="minorHAnsi" w:cstheme="minorBidi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BC17AB">
        <w:rPr>
          <w:rFonts w:asciiTheme="minorHAnsi" w:hAnsiTheme="minorHAnsi" w:cstheme="minorBidi"/>
          <w:lang w:val="en-GB"/>
        </w:rPr>
        <w:t xml:space="preserve">Registrar </w:t>
      </w:r>
      <w:r>
        <w:rPr>
          <w:rFonts w:asciiTheme="minorHAnsi" w:hAnsiTheme="minorHAnsi" w:cstheme="minorBidi"/>
          <w:lang w:val="en-GB"/>
        </w:rPr>
        <w:t xml:space="preserve">Ms </w:t>
      </w:r>
      <w:r w:rsidRPr="00BC17AB">
        <w:rPr>
          <w:rFonts w:asciiTheme="minorHAnsi" w:hAnsiTheme="minorHAnsi" w:cstheme="minorBidi"/>
          <w:lang w:val="en-GB"/>
        </w:rPr>
        <w:t>Nomfundo Khulu (NKhulu@judiciary.org.za)</w:t>
      </w:r>
    </w:p>
    <w:p w:rsidR="00B432CC" w:rsidRPr="00BC17AB" w:rsidRDefault="00B432CC" w:rsidP="00B432CC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6307"/>
    <w:multiLevelType w:val="hybridMultilevel"/>
    <w:tmpl w:val="0AD03BFC"/>
    <w:lvl w:ilvl="0" w:tplc="1C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CC"/>
    <w:rsid w:val="000B6CE8"/>
    <w:rsid w:val="000F2107"/>
    <w:rsid w:val="003E52B1"/>
    <w:rsid w:val="00B432CC"/>
    <w:rsid w:val="00B53C71"/>
    <w:rsid w:val="00F8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7E5F05"/>
  <w15:chartTrackingRefBased/>
  <w15:docId w15:val="{7B6E76D0-73DA-4370-9BA5-68E662AF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432C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32CC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32CC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0BF16.DA35A9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Nomfundo Khulu</dc:creator>
  <cp:keywords/>
  <dc:description/>
  <cp:lastModifiedBy>Nomfundo Khulu</cp:lastModifiedBy>
  <cp:revision>2</cp:revision>
  <dcterms:created xsi:type="dcterms:W3CDTF">2021-11-16T09:11:00Z</dcterms:created>
  <dcterms:modified xsi:type="dcterms:W3CDTF">2021-11-16T09:11:00Z</dcterms:modified>
</cp:coreProperties>
</file>